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03C46" w14:textId="77777777" w:rsidR="00BB590C" w:rsidRPr="007F0642" w:rsidRDefault="007F0642" w:rsidP="007F0642">
      <w:pPr>
        <w:jc w:val="center"/>
        <w:rPr>
          <w:sz w:val="24"/>
          <w:szCs w:val="24"/>
        </w:rPr>
      </w:pPr>
      <w:r w:rsidRPr="007F0642">
        <w:rPr>
          <w:sz w:val="24"/>
          <w:szCs w:val="24"/>
        </w:rPr>
        <w:t>Replication Package for:</w:t>
      </w:r>
    </w:p>
    <w:p w14:paraId="696535A0" w14:textId="77777777" w:rsidR="007F0642" w:rsidRPr="007F0642" w:rsidRDefault="007F0642" w:rsidP="007F0642">
      <w:pPr>
        <w:jc w:val="center"/>
        <w:rPr>
          <w:sz w:val="24"/>
          <w:szCs w:val="24"/>
        </w:rPr>
      </w:pPr>
      <w:r w:rsidRPr="007F0642">
        <w:rPr>
          <w:sz w:val="24"/>
          <w:szCs w:val="24"/>
        </w:rPr>
        <w:t>Identification in Macroeconomics</w:t>
      </w:r>
    </w:p>
    <w:p w14:paraId="6AC7200D" w14:textId="77777777" w:rsidR="007F0642" w:rsidRPr="007F0642" w:rsidRDefault="007F0642" w:rsidP="007F0642">
      <w:pPr>
        <w:jc w:val="center"/>
        <w:rPr>
          <w:sz w:val="24"/>
          <w:szCs w:val="24"/>
        </w:rPr>
      </w:pPr>
      <w:r w:rsidRPr="007F0642">
        <w:rPr>
          <w:sz w:val="24"/>
          <w:szCs w:val="24"/>
        </w:rPr>
        <w:t xml:space="preserve">By Emi Nakamura and </w:t>
      </w:r>
      <w:proofErr w:type="spellStart"/>
      <w:r w:rsidRPr="007F0642">
        <w:rPr>
          <w:sz w:val="24"/>
          <w:szCs w:val="24"/>
        </w:rPr>
        <w:t>Jón</w:t>
      </w:r>
      <w:proofErr w:type="spellEnd"/>
      <w:r w:rsidRPr="007F0642">
        <w:rPr>
          <w:sz w:val="24"/>
          <w:szCs w:val="24"/>
        </w:rPr>
        <w:t xml:space="preserve"> </w:t>
      </w:r>
      <w:proofErr w:type="spellStart"/>
      <w:r w:rsidRPr="007F0642">
        <w:rPr>
          <w:sz w:val="24"/>
          <w:szCs w:val="24"/>
        </w:rPr>
        <w:t>Steinsson</w:t>
      </w:r>
      <w:proofErr w:type="spellEnd"/>
    </w:p>
    <w:p w14:paraId="74258642" w14:textId="77777777" w:rsidR="007F0642" w:rsidRPr="007F0642" w:rsidRDefault="007F0642" w:rsidP="007F0642">
      <w:pPr>
        <w:jc w:val="center"/>
        <w:rPr>
          <w:sz w:val="24"/>
          <w:szCs w:val="24"/>
        </w:rPr>
      </w:pPr>
      <w:r w:rsidRPr="007F0642">
        <w:rPr>
          <w:sz w:val="24"/>
          <w:szCs w:val="24"/>
        </w:rPr>
        <w:t>June 2018</w:t>
      </w:r>
    </w:p>
    <w:p w14:paraId="5E9C95C6" w14:textId="77777777" w:rsidR="007F0642" w:rsidRPr="007F0642" w:rsidRDefault="007F0642" w:rsidP="007F0642">
      <w:pPr>
        <w:jc w:val="center"/>
        <w:rPr>
          <w:sz w:val="24"/>
          <w:szCs w:val="24"/>
        </w:rPr>
      </w:pPr>
    </w:p>
    <w:p w14:paraId="382ABA40" w14:textId="77777777" w:rsidR="007F0642" w:rsidRPr="007F0642" w:rsidRDefault="007F0642" w:rsidP="007F0642">
      <w:pPr>
        <w:jc w:val="center"/>
        <w:rPr>
          <w:sz w:val="24"/>
          <w:szCs w:val="24"/>
        </w:rPr>
      </w:pPr>
    </w:p>
    <w:p w14:paraId="5A38039D" w14:textId="27F1BD8F" w:rsidR="007F0642" w:rsidRDefault="007F0642" w:rsidP="007F0642">
      <w:pPr>
        <w:rPr>
          <w:sz w:val="24"/>
          <w:szCs w:val="24"/>
        </w:rPr>
      </w:pPr>
      <w:r w:rsidRPr="007F0642">
        <w:rPr>
          <w:sz w:val="24"/>
          <w:szCs w:val="24"/>
        </w:rPr>
        <w:t>This replication package is divided into t</w:t>
      </w:r>
      <w:r w:rsidR="00505C44">
        <w:rPr>
          <w:sz w:val="24"/>
          <w:szCs w:val="24"/>
        </w:rPr>
        <w:t>w</w:t>
      </w:r>
      <w:r w:rsidRPr="007F0642">
        <w:rPr>
          <w:sz w:val="24"/>
          <w:szCs w:val="24"/>
        </w:rPr>
        <w:t>o parts: 1) Replication materials for the figures in the main paper. These are contain</w:t>
      </w:r>
      <w:r w:rsidR="003D72C9">
        <w:rPr>
          <w:sz w:val="24"/>
          <w:szCs w:val="24"/>
        </w:rPr>
        <w:t>ed in the folder “Main Figures.”</w:t>
      </w:r>
      <w:r w:rsidRPr="007F0642">
        <w:rPr>
          <w:sz w:val="24"/>
          <w:szCs w:val="24"/>
        </w:rPr>
        <w:t xml:space="preserve"> 2) Replication material for the results in the Appendix. These are contained in the folder </w:t>
      </w:r>
      <w:r>
        <w:rPr>
          <w:sz w:val="24"/>
          <w:szCs w:val="24"/>
        </w:rPr>
        <w:t>“Appendix.”</w:t>
      </w:r>
    </w:p>
    <w:p w14:paraId="31EF7A20" w14:textId="77777777" w:rsidR="007F0642" w:rsidRDefault="007F0642" w:rsidP="007F0642">
      <w:pPr>
        <w:rPr>
          <w:sz w:val="24"/>
          <w:szCs w:val="24"/>
        </w:rPr>
      </w:pPr>
    </w:p>
    <w:p w14:paraId="4B2CDA2B" w14:textId="77777777" w:rsidR="007F0642" w:rsidRPr="007F0642" w:rsidRDefault="007F0642" w:rsidP="007F0642">
      <w:pPr>
        <w:rPr>
          <w:b/>
          <w:sz w:val="24"/>
          <w:szCs w:val="24"/>
        </w:rPr>
      </w:pPr>
      <w:r w:rsidRPr="007F0642">
        <w:rPr>
          <w:b/>
          <w:sz w:val="24"/>
          <w:szCs w:val="24"/>
        </w:rPr>
        <w:t>Replication of Figures in Main Paper</w:t>
      </w:r>
    </w:p>
    <w:p w14:paraId="12BA7479" w14:textId="77777777" w:rsidR="007F0642" w:rsidRDefault="007F0642" w:rsidP="007F0642">
      <w:pPr>
        <w:rPr>
          <w:sz w:val="24"/>
          <w:szCs w:val="24"/>
        </w:rPr>
      </w:pPr>
    </w:p>
    <w:p w14:paraId="1612F910" w14:textId="77777777" w:rsidR="007F0642" w:rsidRDefault="007F0642" w:rsidP="007F0642">
      <w:pPr>
        <w:rPr>
          <w:sz w:val="24"/>
          <w:szCs w:val="24"/>
        </w:rPr>
      </w:pPr>
      <w:r>
        <w:rPr>
          <w:sz w:val="24"/>
          <w:szCs w:val="24"/>
        </w:rPr>
        <w:t>In the “Main Figures” folder, there is a Stata file named “MainFigures.do.” Running this file will create the figures in the main paper. The figures will be saved in the subfolder “Main Figures/Output” and</w:t>
      </w:r>
      <w:r w:rsidRPr="007F0642">
        <w:rPr>
          <w:sz w:val="24"/>
          <w:szCs w:val="24"/>
        </w:rPr>
        <w:t xml:space="preserve"> Stat</w:t>
      </w:r>
      <w:r>
        <w:rPr>
          <w:sz w:val="24"/>
          <w:szCs w:val="24"/>
        </w:rPr>
        <w:t>a data files for each figure will be saved in the folder “Main Figures</w:t>
      </w:r>
      <w:r w:rsidRPr="007F0642">
        <w:rPr>
          <w:sz w:val="24"/>
          <w:szCs w:val="24"/>
        </w:rPr>
        <w:t>/Output/</w:t>
      </w:r>
      <w:proofErr w:type="spellStart"/>
      <w:r w:rsidRPr="007F0642">
        <w:rPr>
          <w:sz w:val="24"/>
          <w:szCs w:val="24"/>
        </w:rPr>
        <w:t>StataData</w:t>
      </w:r>
      <w:proofErr w:type="spellEnd"/>
      <w:r w:rsidRPr="007F0642">
        <w:rPr>
          <w:sz w:val="24"/>
          <w:szCs w:val="24"/>
        </w:rPr>
        <w:t xml:space="preserve">”. </w:t>
      </w:r>
    </w:p>
    <w:p w14:paraId="70E989A4" w14:textId="77777777" w:rsidR="007F0642" w:rsidRDefault="007F0642" w:rsidP="007F0642">
      <w:pPr>
        <w:rPr>
          <w:sz w:val="24"/>
          <w:szCs w:val="24"/>
        </w:rPr>
      </w:pPr>
    </w:p>
    <w:p w14:paraId="4A524693" w14:textId="77777777" w:rsidR="007F0642" w:rsidRDefault="007F0642" w:rsidP="007F0642">
      <w:pPr>
        <w:rPr>
          <w:sz w:val="24"/>
          <w:szCs w:val="24"/>
        </w:rPr>
      </w:pPr>
      <w:r w:rsidRPr="007F0642">
        <w:rPr>
          <w:sz w:val="24"/>
          <w:szCs w:val="24"/>
        </w:rPr>
        <w:t>To successfully</w:t>
      </w:r>
      <w:r>
        <w:rPr>
          <w:sz w:val="24"/>
          <w:szCs w:val="24"/>
        </w:rPr>
        <w:t xml:space="preserve"> run the do file, update the</w:t>
      </w:r>
      <w:r w:rsidRPr="007F0642">
        <w:rPr>
          <w:sz w:val="24"/>
          <w:szCs w:val="24"/>
        </w:rPr>
        <w:t xml:space="preserve"> directory on the top of “MainFigures.do” so that the local variable “Home”</w:t>
      </w:r>
      <w:r>
        <w:rPr>
          <w:sz w:val="24"/>
          <w:szCs w:val="24"/>
        </w:rPr>
        <w:t xml:space="preserve"> is where the “Replication</w:t>
      </w:r>
      <w:r w:rsidRPr="007F0642">
        <w:rPr>
          <w:sz w:val="24"/>
          <w:szCs w:val="24"/>
        </w:rPr>
        <w:t>” folder is located</w:t>
      </w:r>
      <w:r>
        <w:rPr>
          <w:sz w:val="24"/>
          <w:szCs w:val="24"/>
        </w:rPr>
        <w:t xml:space="preserve"> on your computer</w:t>
      </w:r>
      <w:r w:rsidRPr="007F0642">
        <w:rPr>
          <w:sz w:val="24"/>
          <w:szCs w:val="24"/>
        </w:rPr>
        <w:t>.</w:t>
      </w:r>
    </w:p>
    <w:p w14:paraId="516A41C1" w14:textId="77777777" w:rsidR="007F0642" w:rsidRDefault="007F0642" w:rsidP="007F0642">
      <w:pPr>
        <w:rPr>
          <w:sz w:val="24"/>
          <w:szCs w:val="24"/>
        </w:rPr>
      </w:pPr>
    </w:p>
    <w:p w14:paraId="74696679" w14:textId="77777777" w:rsidR="007F0642" w:rsidRPr="007F0642" w:rsidRDefault="007F0642" w:rsidP="007F0642">
      <w:pPr>
        <w:rPr>
          <w:sz w:val="24"/>
          <w:szCs w:val="24"/>
        </w:rPr>
      </w:pPr>
      <w:r>
        <w:rPr>
          <w:sz w:val="24"/>
          <w:szCs w:val="24"/>
        </w:rPr>
        <w:t>The folder “Main Figures</w:t>
      </w:r>
      <w:r w:rsidRPr="007F0642">
        <w:rPr>
          <w:sz w:val="24"/>
          <w:szCs w:val="24"/>
        </w:rPr>
        <w:t>/</w:t>
      </w:r>
      <w:proofErr w:type="spellStart"/>
      <w:r w:rsidRPr="007F0642">
        <w:rPr>
          <w:sz w:val="24"/>
          <w:szCs w:val="24"/>
        </w:rPr>
        <w:t>RawData</w:t>
      </w:r>
      <w:proofErr w:type="spellEnd"/>
      <w:r w:rsidRPr="007F0642">
        <w:rPr>
          <w:sz w:val="24"/>
          <w:szCs w:val="24"/>
        </w:rPr>
        <w:t>” contains the r</w:t>
      </w:r>
      <w:r>
        <w:rPr>
          <w:sz w:val="24"/>
          <w:szCs w:val="24"/>
        </w:rPr>
        <w:t>aw data necessary for creating the figures in the main paper. B</w:t>
      </w:r>
      <w:r w:rsidRPr="007F0642">
        <w:rPr>
          <w:sz w:val="24"/>
          <w:szCs w:val="24"/>
        </w:rPr>
        <w:t xml:space="preserve">elow </w:t>
      </w:r>
      <w:r>
        <w:rPr>
          <w:sz w:val="24"/>
          <w:szCs w:val="24"/>
        </w:rPr>
        <w:t xml:space="preserve">we </w:t>
      </w:r>
      <w:r w:rsidRPr="007F0642">
        <w:rPr>
          <w:sz w:val="24"/>
          <w:szCs w:val="24"/>
        </w:rPr>
        <w:t>list</w:t>
      </w:r>
      <w:r>
        <w:rPr>
          <w:sz w:val="24"/>
          <w:szCs w:val="24"/>
        </w:rPr>
        <w:t xml:space="preserve"> the data variables used in these figures.</w:t>
      </w:r>
      <w:r w:rsidRPr="007F0642">
        <w:rPr>
          <w:sz w:val="24"/>
          <w:szCs w:val="24"/>
        </w:rPr>
        <w:t xml:space="preserve"> All files except “OECD.xlsx” are downloaded from the FRED</w:t>
      </w:r>
      <w:r>
        <w:rPr>
          <w:sz w:val="24"/>
          <w:szCs w:val="24"/>
        </w:rPr>
        <w:t xml:space="preserve"> database maintained by the Federal Reserve Bank of St. Louis</w:t>
      </w:r>
      <w:r w:rsidRPr="007F0642">
        <w:rPr>
          <w:sz w:val="24"/>
          <w:szCs w:val="24"/>
        </w:rPr>
        <w:t xml:space="preserve">. </w:t>
      </w:r>
    </w:p>
    <w:p w14:paraId="0A8D163D" w14:textId="77777777" w:rsidR="007F0642" w:rsidRPr="007F0642" w:rsidRDefault="007F0642" w:rsidP="007F0642">
      <w:pPr>
        <w:rPr>
          <w:sz w:val="24"/>
          <w:szCs w:val="24"/>
        </w:rPr>
      </w:pPr>
    </w:p>
    <w:p w14:paraId="619AD363" w14:textId="77777777" w:rsidR="007F0642" w:rsidRPr="007F0642" w:rsidRDefault="007F0642" w:rsidP="007F064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F0642">
        <w:rPr>
          <w:sz w:val="24"/>
          <w:szCs w:val="24"/>
        </w:rPr>
        <w:t>“CPIAUCLS.xlsx” is the seasonally adjusted, monthly Consumer Price Index for All Urban Consumers: All Items (Units: 1982-1984 = 100).</w:t>
      </w:r>
    </w:p>
    <w:p w14:paraId="0BAC63C5" w14:textId="77777777" w:rsidR="007F0642" w:rsidRPr="007F0642" w:rsidRDefault="007F0642" w:rsidP="007F064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F0642">
        <w:rPr>
          <w:sz w:val="24"/>
          <w:szCs w:val="24"/>
        </w:rPr>
        <w:t>“DED1.xlsx” is the daily 1-month Eurodollar Deposit Rate (London) (Units: Percent).</w:t>
      </w:r>
    </w:p>
    <w:p w14:paraId="6F7C3822" w14:textId="77777777" w:rsidR="007F0642" w:rsidRPr="007F0642" w:rsidRDefault="007F0642" w:rsidP="007F064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F0642">
        <w:rPr>
          <w:sz w:val="24"/>
          <w:szCs w:val="24"/>
        </w:rPr>
        <w:t>“DFEDTAR.xlsx” is the daily Federal Funds Target (Units: Percent).</w:t>
      </w:r>
    </w:p>
    <w:p w14:paraId="0B8259B4" w14:textId="77777777" w:rsidR="007F0642" w:rsidRPr="007F0642" w:rsidRDefault="007F0642" w:rsidP="007F064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F0642">
        <w:rPr>
          <w:sz w:val="24"/>
          <w:szCs w:val="24"/>
        </w:rPr>
        <w:t>“FEDFUNDS.xlsx” is the monthly Effective Federal Funds Rate (Units: Percent).</w:t>
      </w:r>
    </w:p>
    <w:p w14:paraId="22B810DB" w14:textId="77777777" w:rsidR="007F0642" w:rsidRPr="007F0642" w:rsidRDefault="007F0642" w:rsidP="007F064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F0642">
        <w:rPr>
          <w:sz w:val="24"/>
          <w:szCs w:val="24"/>
        </w:rPr>
        <w:t>“INDPRO.xlsx” is the seasonally adjusted, monthly Industrial Production Index (Units: Index 2012=100).</w:t>
      </w:r>
    </w:p>
    <w:p w14:paraId="0A6B5975" w14:textId="77777777" w:rsidR="007F0642" w:rsidRPr="007F0642" w:rsidRDefault="007F0642" w:rsidP="007F064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F0642">
        <w:rPr>
          <w:sz w:val="24"/>
          <w:szCs w:val="24"/>
        </w:rPr>
        <w:t xml:space="preserve">“OECD.xlsx” contains the monthly, not seasonally-adjusted Consumer Price Index for All Items of Germany and the U.S. (Units: Index 2010=100) and the monthly, end of period nominal exchange rate between Germany and the U.S (Units: Euro). These data are downloaded from the OECD.  </w:t>
      </w:r>
    </w:p>
    <w:p w14:paraId="5353A44F" w14:textId="77777777" w:rsidR="007F0642" w:rsidRDefault="007F0642" w:rsidP="007F064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F0642">
        <w:rPr>
          <w:sz w:val="24"/>
          <w:szCs w:val="24"/>
        </w:rPr>
        <w:t>“UNRATE.xlsx” is the seasonally adjusted, monthly Civilian Unemployment Rate (Units: Percent).</w:t>
      </w:r>
    </w:p>
    <w:p w14:paraId="4AD35D7D" w14:textId="77777777" w:rsidR="00D703A3" w:rsidRDefault="00D703A3" w:rsidP="00D703A3">
      <w:pPr>
        <w:rPr>
          <w:sz w:val="24"/>
          <w:szCs w:val="24"/>
        </w:rPr>
      </w:pPr>
    </w:p>
    <w:p w14:paraId="29B668BE" w14:textId="77777777" w:rsidR="00D703A3" w:rsidRPr="00D703A3" w:rsidRDefault="00D703A3" w:rsidP="00D703A3">
      <w:pPr>
        <w:rPr>
          <w:b/>
          <w:sz w:val="24"/>
          <w:szCs w:val="24"/>
        </w:rPr>
      </w:pPr>
      <w:r w:rsidRPr="00D703A3">
        <w:rPr>
          <w:b/>
          <w:sz w:val="24"/>
          <w:szCs w:val="24"/>
        </w:rPr>
        <w:t>Replication of Results in the Appendix</w:t>
      </w:r>
    </w:p>
    <w:p w14:paraId="55DCFCD1" w14:textId="77777777" w:rsidR="00D703A3" w:rsidRDefault="00D703A3" w:rsidP="00D703A3">
      <w:pPr>
        <w:rPr>
          <w:sz w:val="24"/>
          <w:szCs w:val="24"/>
        </w:rPr>
      </w:pPr>
    </w:p>
    <w:p w14:paraId="19DBB5D2" w14:textId="77777777" w:rsidR="00FF7A37" w:rsidRPr="008A40E9" w:rsidRDefault="00FF7A37" w:rsidP="008A40E9">
      <w:pPr>
        <w:rPr>
          <w:sz w:val="24"/>
          <w:szCs w:val="24"/>
        </w:rPr>
      </w:pPr>
      <w:r>
        <w:rPr>
          <w:sz w:val="24"/>
          <w:szCs w:val="24"/>
        </w:rPr>
        <w:t>In the “Appendix” folder there is a Stata file named “MonetaryMain.do.” Running this file will genera</w:t>
      </w:r>
      <w:r w:rsidR="0071219A">
        <w:rPr>
          <w:sz w:val="24"/>
          <w:szCs w:val="24"/>
        </w:rPr>
        <w:t>te the empirical results in A</w:t>
      </w:r>
      <w:r>
        <w:rPr>
          <w:sz w:val="24"/>
          <w:szCs w:val="24"/>
        </w:rPr>
        <w:t>ppendix</w:t>
      </w:r>
      <w:r w:rsidR="0071219A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(i.e., Figures A.1 and A.2 and Table A.1). The </w:t>
      </w:r>
      <w:r>
        <w:rPr>
          <w:sz w:val="24"/>
          <w:szCs w:val="24"/>
        </w:rPr>
        <w:lastRenderedPageBreak/>
        <w:t>Figures are saved in the folder</w:t>
      </w:r>
      <w:r w:rsidR="00D703A3" w:rsidRPr="008A40E9">
        <w:rPr>
          <w:sz w:val="24"/>
          <w:szCs w:val="24"/>
        </w:rPr>
        <w:t xml:space="preserve"> “Appendix/Output”. </w:t>
      </w:r>
      <w:r w:rsidR="0071219A" w:rsidRPr="008A40E9">
        <w:rPr>
          <w:sz w:val="24"/>
          <w:szCs w:val="24"/>
        </w:rPr>
        <w:t xml:space="preserve">We create Figure B.1 using the code and data from </w:t>
      </w:r>
      <w:proofErr w:type="spellStart"/>
      <w:r w:rsidR="0071219A" w:rsidRPr="008A40E9">
        <w:rPr>
          <w:sz w:val="24"/>
          <w:szCs w:val="24"/>
        </w:rPr>
        <w:t>Gertler</w:t>
      </w:r>
      <w:proofErr w:type="spellEnd"/>
      <w:r w:rsidR="0071219A" w:rsidRPr="008A40E9">
        <w:rPr>
          <w:sz w:val="24"/>
          <w:szCs w:val="24"/>
        </w:rPr>
        <w:t xml:space="preserve"> and </w:t>
      </w:r>
      <w:proofErr w:type="spellStart"/>
      <w:r w:rsidR="0071219A" w:rsidRPr="008A40E9">
        <w:rPr>
          <w:sz w:val="24"/>
          <w:szCs w:val="24"/>
        </w:rPr>
        <w:t>Karadi</w:t>
      </w:r>
      <w:proofErr w:type="spellEnd"/>
      <w:r w:rsidR="0071219A" w:rsidRPr="008A40E9">
        <w:rPr>
          <w:sz w:val="24"/>
          <w:szCs w:val="24"/>
        </w:rPr>
        <w:t xml:space="preserve"> (2015), which is available on the website of the American Economic Journal: Macroeconomics. </w:t>
      </w:r>
    </w:p>
    <w:p w14:paraId="1CDAEF3D" w14:textId="77777777" w:rsidR="00FF7A37" w:rsidRPr="008A40E9" w:rsidRDefault="00FF7A37" w:rsidP="00FF7A37">
      <w:pPr>
        <w:rPr>
          <w:sz w:val="24"/>
          <w:szCs w:val="24"/>
        </w:rPr>
      </w:pPr>
    </w:p>
    <w:p w14:paraId="1618C89C" w14:textId="77777777" w:rsidR="00D703A3" w:rsidRPr="00FF7A37" w:rsidRDefault="00D703A3" w:rsidP="00FF7A37">
      <w:pPr>
        <w:rPr>
          <w:sz w:val="24"/>
          <w:szCs w:val="24"/>
        </w:rPr>
      </w:pPr>
      <w:r w:rsidRPr="008A40E9">
        <w:rPr>
          <w:sz w:val="24"/>
          <w:szCs w:val="24"/>
        </w:rPr>
        <w:t>To successfully</w:t>
      </w:r>
      <w:r w:rsidR="00FF7A37" w:rsidRPr="008A40E9">
        <w:rPr>
          <w:sz w:val="24"/>
          <w:szCs w:val="24"/>
        </w:rPr>
        <w:t xml:space="preserve"> run the do file,</w:t>
      </w:r>
      <w:r w:rsidRPr="008A40E9">
        <w:rPr>
          <w:sz w:val="24"/>
          <w:szCs w:val="24"/>
        </w:rPr>
        <w:t xml:space="preserve"> two directories</w:t>
      </w:r>
      <w:r w:rsidR="00FF7A37" w:rsidRPr="008A40E9">
        <w:rPr>
          <w:sz w:val="24"/>
          <w:szCs w:val="24"/>
        </w:rPr>
        <w:t xml:space="preserve"> need to be updated at</w:t>
      </w:r>
      <w:r w:rsidRPr="008A40E9">
        <w:rPr>
          <w:sz w:val="24"/>
          <w:szCs w:val="24"/>
        </w:rPr>
        <w:t xml:space="preserve"> the top of “MonetaryMain.do</w:t>
      </w:r>
      <w:r w:rsidR="00FF7A37" w:rsidRPr="008A40E9">
        <w:rPr>
          <w:sz w:val="24"/>
          <w:szCs w:val="24"/>
        </w:rPr>
        <w:t>.</w:t>
      </w:r>
      <w:r w:rsidRPr="008A40E9">
        <w:rPr>
          <w:sz w:val="24"/>
          <w:szCs w:val="24"/>
        </w:rPr>
        <w:t>”</w:t>
      </w:r>
      <w:r w:rsidR="00FF7A37" w:rsidRPr="008A40E9">
        <w:rPr>
          <w:sz w:val="24"/>
          <w:szCs w:val="24"/>
        </w:rPr>
        <w:t xml:space="preserve"> The first is the</w:t>
      </w:r>
      <w:r w:rsidRPr="008A40E9">
        <w:rPr>
          <w:sz w:val="24"/>
          <w:szCs w:val="24"/>
        </w:rPr>
        <w:t xml:space="preserve"> local variable </w:t>
      </w:r>
      <w:r w:rsidR="00FF7A37" w:rsidRPr="008A40E9">
        <w:rPr>
          <w:sz w:val="24"/>
          <w:szCs w:val="24"/>
        </w:rPr>
        <w:t>“Home.” This contains the path to where the “</w:t>
      </w:r>
      <w:proofErr w:type="spellStart"/>
      <w:r w:rsidR="00FF7A37" w:rsidRPr="008A40E9">
        <w:rPr>
          <w:sz w:val="24"/>
          <w:szCs w:val="24"/>
        </w:rPr>
        <w:t>Replicaton</w:t>
      </w:r>
      <w:proofErr w:type="spellEnd"/>
      <w:r w:rsidRPr="008A40E9">
        <w:rPr>
          <w:sz w:val="24"/>
          <w:szCs w:val="24"/>
        </w:rPr>
        <w:t>” folder is located</w:t>
      </w:r>
      <w:r w:rsidR="00FF7A37" w:rsidRPr="008A40E9">
        <w:rPr>
          <w:sz w:val="24"/>
          <w:szCs w:val="24"/>
        </w:rPr>
        <w:t>. The second is the</w:t>
      </w:r>
      <w:r w:rsidRPr="008A40E9">
        <w:rPr>
          <w:sz w:val="24"/>
          <w:szCs w:val="24"/>
        </w:rPr>
        <w:t xml:space="preserve"> local variable “</w:t>
      </w:r>
      <w:proofErr w:type="spellStart"/>
      <w:r w:rsidRPr="008A40E9">
        <w:rPr>
          <w:sz w:val="24"/>
          <w:szCs w:val="24"/>
        </w:rPr>
        <w:t>Matlab</w:t>
      </w:r>
      <w:proofErr w:type="spellEnd"/>
      <w:r w:rsidR="00FF7A37" w:rsidRPr="008A40E9">
        <w:rPr>
          <w:sz w:val="24"/>
          <w:szCs w:val="24"/>
        </w:rPr>
        <w:t>,” which contains the path to where</w:t>
      </w:r>
      <w:r w:rsidRPr="008A40E9">
        <w:rPr>
          <w:sz w:val="24"/>
          <w:szCs w:val="24"/>
        </w:rPr>
        <w:t xml:space="preserve"> </w:t>
      </w:r>
      <w:proofErr w:type="spellStart"/>
      <w:r w:rsidRPr="008A40E9">
        <w:rPr>
          <w:sz w:val="24"/>
          <w:szCs w:val="24"/>
        </w:rPr>
        <w:t>Matlab</w:t>
      </w:r>
      <w:proofErr w:type="spellEnd"/>
      <w:r w:rsidRPr="008A40E9">
        <w:rPr>
          <w:sz w:val="24"/>
          <w:szCs w:val="24"/>
        </w:rPr>
        <w:t xml:space="preserve"> is installed</w:t>
      </w:r>
      <w:r w:rsidR="00FF7A37" w:rsidRPr="008A40E9">
        <w:rPr>
          <w:sz w:val="24"/>
          <w:szCs w:val="24"/>
        </w:rPr>
        <w:t xml:space="preserve"> on your computer</w:t>
      </w:r>
      <w:r w:rsidRPr="008A40E9">
        <w:rPr>
          <w:sz w:val="24"/>
          <w:szCs w:val="24"/>
        </w:rPr>
        <w:t>.</w:t>
      </w:r>
    </w:p>
    <w:p w14:paraId="4FD4CD28" w14:textId="77777777" w:rsidR="00D703A3" w:rsidRPr="008A40E9" w:rsidRDefault="00D703A3" w:rsidP="008A40E9">
      <w:pPr>
        <w:rPr>
          <w:sz w:val="24"/>
          <w:szCs w:val="24"/>
        </w:rPr>
      </w:pPr>
    </w:p>
    <w:p w14:paraId="31CF521F" w14:textId="77777777" w:rsidR="00D703A3" w:rsidRPr="008A40E9" w:rsidRDefault="00D703A3" w:rsidP="008A40E9">
      <w:pPr>
        <w:rPr>
          <w:sz w:val="24"/>
          <w:szCs w:val="24"/>
        </w:rPr>
      </w:pPr>
      <w:r w:rsidRPr="008A40E9">
        <w:rPr>
          <w:sz w:val="24"/>
          <w:szCs w:val="24"/>
        </w:rPr>
        <w:t>The folder “Appendix/</w:t>
      </w:r>
      <w:proofErr w:type="spellStart"/>
      <w:r w:rsidRPr="008A40E9">
        <w:rPr>
          <w:sz w:val="24"/>
          <w:szCs w:val="24"/>
        </w:rPr>
        <w:t>RawData</w:t>
      </w:r>
      <w:proofErr w:type="spellEnd"/>
      <w:r w:rsidRPr="008A40E9">
        <w:rPr>
          <w:sz w:val="24"/>
          <w:szCs w:val="24"/>
        </w:rPr>
        <w:t xml:space="preserve">” contains the raw data necessary for creating the figures and tables in the Appendix. </w:t>
      </w:r>
    </w:p>
    <w:p w14:paraId="798E39E3" w14:textId="7ABBFE89" w:rsidR="00D703A3" w:rsidRPr="008A40E9" w:rsidRDefault="00D703A3" w:rsidP="0071219A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“</w:t>
      </w:r>
      <w:proofErr w:type="spellStart"/>
      <w:r w:rsidRPr="008A40E9">
        <w:rPr>
          <w:rFonts w:cstheme="minorHAnsi"/>
          <w:sz w:val="24"/>
          <w:szCs w:val="24"/>
        </w:rPr>
        <w:t>MonetaryData.dta</w:t>
      </w:r>
      <w:proofErr w:type="spellEnd"/>
      <w:r w:rsidRPr="008A40E9">
        <w:rPr>
          <w:rFonts w:cstheme="minorHAnsi"/>
          <w:sz w:val="24"/>
          <w:szCs w:val="24"/>
        </w:rPr>
        <w:t xml:space="preserve">” contains the logarithm of industrial production, the unemployment rate, the logarithm of CPI, the logarithm of a commodity price index, and the effective federal funds rate. We list the details and the source of all data except the commodity price index </w:t>
      </w:r>
      <w:r w:rsidR="003D72C9">
        <w:rPr>
          <w:rFonts w:cstheme="minorHAnsi"/>
          <w:sz w:val="24"/>
          <w:szCs w:val="24"/>
        </w:rPr>
        <w:t>above</w:t>
      </w:r>
      <w:bookmarkStart w:id="0" w:name="_GoBack"/>
      <w:bookmarkEnd w:id="0"/>
      <w:r w:rsidRPr="008A40E9">
        <w:rPr>
          <w:rFonts w:cstheme="minorHAnsi"/>
          <w:sz w:val="24"/>
          <w:szCs w:val="24"/>
        </w:rPr>
        <w:t>. The monthly commodity price index is “KR-CRB Spot Commodity Price Index: All Commodities” (Units: 1967 = 100) from the Commodity Research</w:t>
      </w:r>
      <w:r w:rsidR="0071219A" w:rsidRPr="008A40E9">
        <w:rPr>
          <w:rFonts w:cstheme="minorHAnsi"/>
          <w:sz w:val="24"/>
          <w:szCs w:val="24"/>
        </w:rPr>
        <w:t xml:space="preserve"> Bureau. This is the same series as </w:t>
      </w:r>
      <w:r w:rsidRPr="008A40E9">
        <w:rPr>
          <w:rFonts w:cstheme="minorHAnsi"/>
          <w:sz w:val="24"/>
          <w:szCs w:val="24"/>
        </w:rPr>
        <w:t>Ramey (2016)</w:t>
      </w:r>
      <w:r w:rsidR="0071219A" w:rsidRPr="008A40E9">
        <w:rPr>
          <w:rFonts w:cstheme="minorHAnsi"/>
          <w:sz w:val="24"/>
          <w:szCs w:val="24"/>
        </w:rPr>
        <w:t xml:space="preserve"> uses</w:t>
      </w:r>
      <w:r w:rsidRPr="008A40E9">
        <w:rPr>
          <w:rFonts w:cstheme="minorHAnsi"/>
          <w:sz w:val="24"/>
          <w:szCs w:val="24"/>
        </w:rPr>
        <w:t xml:space="preserve">. </w:t>
      </w:r>
    </w:p>
    <w:p w14:paraId="604FB65E" w14:textId="77777777" w:rsidR="00D703A3" w:rsidRPr="00AB5B7A" w:rsidRDefault="00D703A3" w:rsidP="00D703A3">
      <w:pPr>
        <w:pStyle w:val="ListParagraph"/>
        <w:numPr>
          <w:ilvl w:val="0"/>
          <w:numId w:val="3"/>
        </w:numPr>
        <w:spacing w:line="276" w:lineRule="auto"/>
        <w:rPr>
          <w:rFonts w:ascii="Cambria" w:hAnsi="Cambria"/>
        </w:rPr>
      </w:pPr>
      <w:r w:rsidRPr="008A40E9">
        <w:rPr>
          <w:rFonts w:cstheme="minorHAnsi"/>
          <w:sz w:val="24"/>
          <w:szCs w:val="24"/>
        </w:rPr>
        <w:t>“</w:t>
      </w:r>
      <w:r w:rsidR="0071219A" w:rsidRPr="008A40E9">
        <w:rPr>
          <w:rFonts w:cstheme="minorHAnsi"/>
          <w:sz w:val="24"/>
          <w:szCs w:val="24"/>
        </w:rPr>
        <w:t>RomerShock.txt” contains the updated version of the</w:t>
      </w:r>
      <w:r w:rsidRPr="008A40E9">
        <w:rPr>
          <w:rFonts w:cstheme="minorHAnsi"/>
          <w:sz w:val="24"/>
          <w:szCs w:val="24"/>
        </w:rPr>
        <w:t xml:space="preserve"> </w:t>
      </w:r>
      <w:proofErr w:type="spellStart"/>
      <w:r w:rsidRPr="008A40E9">
        <w:rPr>
          <w:rFonts w:cstheme="minorHAnsi"/>
          <w:sz w:val="24"/>
          <w:szCs w:val="24"/>
        </w:rPr>
        <w:t>Romer</w:t>
      </w:r>
      <w:proofErr w:type="spellEnd"/>
      <w:r w:rsidRPr="008A40E9">
        <w:rPr>
          <w:rFonts w:cstheme="minorHAnsi"/>
          <w:sz w:val="24"/>
          <w:szCs w:val="24"/>
        </w:rPr>
        <w:t xml:space="preserve"> and </w:t>
      </w:r>
      <w:proofErr w:type="spellStart"/>
      <w:r w:rsidRPr="008A40E9">
        <w:rPr>
          <w:rFonts w:cstheme="minorHAnsi"/>
          <w:sz w:val="24"/>
          <w:szCs w:val="24"/>
        </w:rPr>
        <w:t>Romer</w:t>
      </w:r>
      <w:proofErr w:type="spellEnd"/>
      <w:r w:rsidRPr="008A40E9">
        <w:rPr>
          <w:rFonts w:cstheme="minorHAnsi"/>
          <w:sz w:val="24"/>
          <w:szCs w:val="24"/>
        </w:rPr>
        <w:t xml:space="preserve"> (2004) shocks </w:t>
      </w:r>
      <w:proofErr w:type="gramStart"/>
      <w:r w:rsidRPr="008A40E9">
        <w:rPr>
          <w:rFonts w:cstheme="minorHAnsi"/>
          <w:sz w:val="24"/>
          <w:szCs w:val="24"/>
        </w:rPr>
        <w:t>compiled</w:t>
      </w:r>
      <w:proofErr w:type="gramEnd"/>
      <w:r w:rsidRPr="008A40E9">
        <w:rPr>
          <w:rFonts w:cstheme="minorHAnsi"/>
          <w:sz w:val="24"/>
          <w:szCs w:val="24"/>
        </w:rPr>
        <w:t xml:space="preserve"> by Wieland and Yang (2017).</w:t>
      </w:r>
      <w:r w:rsidRPr="00AB5B7A">
        <w:rPr>
          <w:rFonts w:ascii="Cambria" w:hAnsi="Cambria"/>
        </w:rPr>
        <w:t xml:space="preserve"> </w:t>
      </w:r>
    </w:p>
    <w:p w14:paraId="6D142C8E" w14:textId="77777777" w:rsidR="00D703A3" w:rsidRPr="00AB5B7A" w:rsidRDefault="00D703A3" w:rsidP="00D703A3">
      <w:pPr>
        <w:spacing w:line="276" w:lineRule="auto"/>
        <w:rPr>
          <w:rFonts w:ascii="Cambria" w:hAnsi="Cambria"/>
        </w:rPr>
      </w:pPr>
    </w:p>
    <w:p w14:paraId="39FE3FD1" w14:textId="77777777" w:rsidR="00D703A3" w:rsidRPr="008A40E9" w:rsidRDefault="00D703A3" w:rsidP="008A40E9">
      <w:pPr>
        <w:rPr>
          <w:sz w:val="24"/>
          <w:szCs w:val="24"/>
        </w:rPr>
      </w:pPr>
      <w:r w:rsidRPr="008A40E9">
        <w:rPr>
          <w:sz w:val="24"/>
          <w:szCs w:val="24"/>
        </w:rPr>
        <w:t xml:space="preserve">The folder “Appendix/Program” contains do files and </w:t>
      </w:r>
      <w:proofErr w:type="spellStart"/>
      <w:r w:rsidRPr="008A40E9">
        <w:rPr>
          <w:sz w:val="24"/>
          <w:szCs w:val="24"/>
        </w:rPr>
        <w:t>matlab</w:t>
      </w:r>
      <w:proofErr w:type="spellEnd"/>
      <w:r w:rsidRPr="008A40E9">
        <w:rPr>
          <w:sz w:val="24"/>
          <w:szCs w:val="24"/>
        </w:rPr>
        <w:t xml:space="preserve"> programs</w:t>
      </w:r>
      <w:r w:rsidR="0071219A" w:rsidRPr="008A40E9">
        <w:rPr>
          <w:sz w:val="24"/>
          <w:szCs w:val="24"/>
        </w:rPr>
        <w:t xml:space="preserve"> called</w:t>
      </w:r>
      <w:r w:rsidRPr="008A40E9">
        <w:rPr>
          <w:sz w:val="24"/>
          <w:szCs w:val="24"/>
        </w:rPr>
        <w:t xml:space="preserve"> by “Appendix/MonetaryMain.do”</w:t>
      </w:r>
      <w:r w:rsidR="0071219A" w:rsidRPr="008A40E9">
        <w:rPr>
          <w:sz w:val="24"/>
          <w:szCs w:val="24"/>
        </w:rPr>
        <w:t>.</w:t>
      </w:r>
    </w:p>
    <w:p w14:paraId="69E3150E" w14:textId="77777777" w:rsidR="00D703A3" w:rsidRPr="008A40E9" w:rsidRDefault="00D703A3" w:rsidP="00D703A3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 xml:space="preserve">“CoibionShock.do” creates a shock series from the VAR used in </w:t>
      </w:r>
      <w:proofErr w:type="spellStart"/>
      <w:r w:rsidRPr="008A40E9">
        <w:rPr>
          <w:rFonts w:cstheme="minorHAnsi"/>
          <w:sz w:val="24"/>
          <w:szCs w:val="24"/>
        </w:rPr>
        <w:t>Coibion</w:t>
      </w:r>
      <w:proofErr w:type="spellEnd"/>
      <w:r w:rsidRPr="008A40E9">
        <w:rPr>
          <w:rFonts w:cstheme="minorHAnsi"/>
          <w:sz w:val="24"/>
          <w:szCs w:val="24"/>
        </w:rPr>
        <w:t xml:space="preserve"> (2012).</w:t>
      </w:r>
    </w:p>
    <w:p w14:paraId="47ABBC03" w14:textId="77777777" w:rsidR="00D703A3" w:rsidRPr="008A40E9" w:rsidRDefault="00D703A3" w:rsidP="00D703A3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“</w:t>
      </w:r>
      <w:proofErr w:type="spellStart"/>
      <w:r w:rsidRPr="008A40E9">
        <w:rPr>
          <w:rFonts w:cstheme="minorHAnsi"/>
          <w:sz w:val="24"/>
          <w:szCs w:val="24"/>
        </w:rPr>
        <w:t>runVAR.m</w:t>
      </w:r>
      <w:proofErr w:type="spellEnd"/>
      <w:r w:rsidRPr="008A40E9">
        <w:rPr>
          <w:rFonts w:cstheme="minorHAnsi"/>
          <w:sz w:val="24"/>
          <w:szCs w:val="24"/>
        </w:rPr>
        <w:t>” runs programs in “Appendix/Program/</w:t>
      </w:r>
      <w:proofErr w:type="spellStart"/>
      <w:r w:rsidRPr="008A40E9">
        <w:rPr>
          <w:rFonts w:cstheme="minorHAnsi"/>
          <w:sz w:val="24"/>
          <w:szCs w:val="24"/>
        </w:rPr>
        <w:t>matlab</w:t>
      </w:r>
      <w:proofErr w:type="spellEnd"/>
      <w:r w:rsidRPr="008A40E9">
        <w:rPr>
          <w:rFonts w:cstheme="minorHAnsi"/>
          <w:sz w:val="24"/>
          <w:szCs w:val="24"/>
        </w:rPr>
        <w:t xml:space="preserve">” to estimate impulse responses. </w:t>
      </w:r>
    </w:p>
    <w:p w14:paraId="22589795" w14:textId="77777777" w:rsidR="00D703A3" w:rsidRPr="008A40E9" w:rsidRDefault="00D703A3" w:rsidP="00D703A3">
      <w:pPr>
        <w:pStyle w:val="ListParagraph"/>
        <w:numPr>
          <w:ilvl w:val="1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“</w:t>
      </w:r>
      <w:proofErr w:type="spellStart"/>
      <w:r w:rsidRPr="008A40E9">
        <w:rPr>
          <w:rFonts w:cstheme="minorHAnsi"/>
          <w:sz w:val="24"/>
          <w:szCs w:val="24"/>
        </w:rPr>
        <w:t>CoibionMain.m</w:t>
      </w:r>
      <w:proofErr w:type="spellEnd"/>
      <w:r w:rsidRPr="008A40E9">
        <w:rPr>
          <w:rFonts w:cstheme="minorHAnsi"/>
          <w:sz w:val="24"/>
          <w:szCs w:val="24"/>
        </w:rPr>
        <w:t>” estimates the impulses responses using the VAR shocks.</w:t>
      </w:r>
    </w:p>
    <w:p w14:paraId="3BBBF676" w14:textId="77777777" w:rsidR="00D703A3" w:rsidRPr="008A40E9" w:rsidRDefault="00D703A3" w:rsidP="00D703A3">
      <w:pPr>
        <w:pStyle w:val="ListParagraph"/>
        <w:numPr>
          <w:ilvl w:val="1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“</w:t>
      </w:r>
      <w:proofErr w:type="spellStart"/>
      <w:r w:rsidRPr="008A40E9">
        <w:rPr>
          <w:rFonts w:cstheme="minorHAnsi"/>
          <w:sz w:val="24"/>
          <w:szCs w:val="24"/>
        </w:rPr>
        <w:t>RomerMain.m</w:t>
      </w:r>
      <w:proofErr w:type="spellEnd"/>
      <w:r w:rsidRPr="008A40E9">
        <w:rPr>
          <w:rFonts w:cstheme="minorHAnsi"/>
          <w:sz w:val="24"/>
          <w:szCs w:val="24"/>
        </w:rPr>
        <w:t xml:space="preserve">” estimates the impulse responses using the </w:t>
      </w:r>
      <w:proofErr w:type="spellStart"/>
      <w:r w:rsidRPr="008A40E9">
        <w:rPr>
          <w:rFonts w:cstheme="minorHAnsi"/>
          <w:sz w:val="24"/>
          <w:szCs w:val="24"/>
        </w:rPr>
        <w:t>Romer-Romer</w:t>
      </w:r>
      <w:proofErr w:type="spellEnd"/>
      <w:r w:rsidRPr="008A40E9">
        <w:rPr>
          <w:rFonts w:cstheme="minorHAnsi"/>
          <w:sz w:val="24"/>
          <w:szCs w:val="24"/>
        </w:rPr>
        <w:t xml:space="preserve"> shocks. </w:t>
      </w:r>
    </w:p>
    <w:p w14:paraId="34EAE3B6" w14:textId="77777777" w:rsidR="00D703A3" w:rsidRPr="008A40E9" w:rsidRDefault="00D703A3" w:rsidP="00D703A3">
      <w:pPr>
        <w:pStyle w:val="ListParagraph"/>
        <w:numPr>
          <w:ilvl w:val="1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Programs used for estimating the impulses responses and constructing the error bands are:</w:t>
      </w:r>
    </w:p>
    <w:p w14:paraId="322E849A" w14:textId="77777777" w:rsidR="00D703A3" w:rsidRPr="008A40E9" w:rsidRDefault="00D703A3" w:rsidP="00D703A3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“</w:t>
      </w:r>
      <w:proofErr w:type="spellStart"/>
      <w:r w:rsidRPr="008A40E9">
        <w:rPr>
          <w:rFonts w:cstheme="minorHAnsi"/>
          <w:sz w:val="24"/>
          <w:szCs w:val="24"/>
        </w:rPr>
        <w:t>CoibionEstimate.m</w:t>
      </w:r>
      <w:proofErr w:type="spellEnd"/>
      <w:r w:rsidRPr="008A40E9">
        <w:rPr>
          <w:rFonts w:cstheme="minorHAnsi"/>
          <w:sz w:val="24"/>
          <w:szCs w:val="24"/>
        </w:rPr>
        <w:t>” and “</w:t>
      </w:r>
      <w:proofErr w:type="spellStart"/>
      <w:r w:rsidRPr="008A40E9">
        <w:rPr>
          <w:rFonts w:cstheme="minorHAnsi"/>
          <w:sz w:val="24"/>
          <w:szCs w:val="24"/>
        </w:rPr>
        <w:t>CoibionVAR.m</w:t>
      </w:r>
      <w:proofErr w:type="spellEnd"/>
      <w:r w:rsidRPr="008A40E9">
        <w:rPr>
          <w:rFonts w:cstheme="minorHAnsi"/>
          <w:sz w:val="24"/>
          <w:szCs w:val="24"/>
        </w:rPr>
        <w:t xml:space="preserve">”: </w:t>
      </w:r>
      <w:r w:rsidR="0071219A" w:rsidRPr="008A40E9">
        <w:rPr>
          <w:rFonts w:cstheme="minorHAnsi"/>
          <w:sz w:val="24"/>
          <w:szCs w:val="24"/>
        </w:rPr>
        <w:t>for the</w:t>
      </w:r>
      <w:r w:rsidRPr="008A40E9">
        <w:rPr>
          <w:rFonts w:cstheme="minorHAnsi"/>
          <w:sz w:val="24"/>
          <w:szCs w:val="24"/>
        </w:rPr>
        <w:t xml:space="preserve"> standard VAR </w:t>
      </w:r>
    </w:p>
    <w:p w14:paraId="3DA1C65C" w14:textId="77777777" w:rsidR="00D703A3" w:rsidRPr="008A40E9" w:rsidRDefault="00D703A3" w:rsidP="00D703A3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 xml:space="preserve"> “</w:t>
      </w:r>
      <w:proofErr w:type="spellStart"/>
      <w:r w:rsidRPr="008A40E9">
        <w:rPr>
          <w:rFonts w:cstheme="minorHAnsi"/>
          <w:sz w:val="24"/>
          <w:szCs w:val="24"/>
        </w:rPr>
        <w:t>ProxyEstimate.m</w:t>
      </w:r>
      <w:proofErr w:type="spellEnd"/>
      <w:r w:rsidRPr="008A40E9">
        <w:rPr>
          <w:rFonts w:cstheme="minorHAnsi"/>
          <w:sz w:val="24"/>
          <w:szCs w:val="24"/>
        </w:rPr>
        <w:t xml:space="preserve">” and </w:t>
      </w:r>
      <w:r w:rsidR="0071219A" w:rsidRPr="008A40E9">
        <w:rPr>
          <w:rFonts w:cstheme="minorHAnsi"/>
          <w:sz w:val="24"/>
          <w:szCs w:val="24"/>
        </w:rPr>
        <w:t>“</w:t>
      </w:r>
      <w:proofErr w:type="spellStart"/>
      <w:r w:rsidR="0071219A" w:rsidRPr="008A40E9">
        <w:rPr>
          <w:rFonts w:cstheme="minorHAnsi"/>
          <w:sz w:val="24"/>
          <w:szCs w:val="24"/>
        </w:rPr>
        <w:t>ProxyVAR.m</w:t>
      </w:r>
      <w:proofErr w:type="spellEnd"/>
      <w:r w:rsidR="0071219A" w:rsidRPr="008A40E9">
        <w:rPr>
          <w:rFonts w:cstheme="minorHAnsi"/>
          <w:sz w:val="24"/>
          <w:szCs w:val="24"/>
        </w:rPr>
        <w:t>”: for the</w:t>
      </w:r>
      <w:r w:rsidRPr="008A40E9">
        <w:rPr>
          <w:rFonts w:cstheme="minorHAnsi"/>
          <w:sz w:val="24"/>
          <w:szCs w:val="24"/>
        </w:rPr>
        <w:t xml:space="preserve"> external instrument VAR</w:t>
      </w:r>
    </w:p>
    <w:p w14:paraId="02439D07" w14:textId="77777777" w:rsidR="00D703A3" w:rsidRPr="008A40E9" w:rsidRDefault="00D703A3" w:rsidP="00D703A3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“</w:t>
      </w:r>
      <w:proofErr w:type="spellStart"/>
      <w:r w:rsidRPr="008A40E9">
        <w:rPr>
          <w:rFonts w:cstheme="minorHAnsi"/>
          <w:sz w:val="24"/>
          <w:szCs w:val="24"/>
        </w:rPr>
        <w:t>JordaVAR.m</w:t>
      </w:r>
      <w:proofErr w:type="spellEnd"/>
      <w:r w:rsidRPr="008A40E9">
        <w:rPr>
          <w:rFonts w:cstheme="minorHAnsi"/>
          <w:sz w:val="24"/>
          <w:szCs w:val="24"/>
        </w:rPr>
        <w:t xml:space="preserve">”: </w:t>
      </w:r>
      <w:proofErr w:type="spellStart"/>
      <w:r w:rsidRPr="008A40E9">
        <w:rPr>
          <w:rFonts w:cstheme="minorHAnsi"/>
          <w:sz w:val="24"/>
          <w:szCs w:val="24"/>
        </w:rPr>
        <w:t>Jorda</w:t>
      </w:r>
      <w:proofErr w:type="spellEnd"/>
      <w:r w:rsidRPr="008A40E9">
        <w:rPr>
          <w:rFonts w:cstheme="minorHAnsi"/>
          <w:sz w:val="24"/>
          <w:szCs w:val="24"/>
        </w:rPr>
        <w:t xml:space="preserve"> specification, which uses “</w:t>
      </w:r>
      <w:proofErr w:type="spellStart"/>
      <w:r w:rsidRPr="008A40E9">
        <w:rPr>
          <w:rFonts w:cstheme="minorHAnsi"/>
          <w:sz w:val="24"/>
          <w:szCs w:val="24"/>
        </w:rPr>
        <w:t>olshac.m</w:t>
      </w:r>
      <w:proofErr w:type="spellEnd"/>
      <w:r w:rsidRPr="008A40E9">
        <w:rPr>
          <w:rFonts w:cstheme="minorHAnsi"/>
          <w:sz w:val="24"/>
          <w:szCs w:val="24"/>
        </w:rPr>
        <w:t>” when constructing Newey-West (1987) standard errors</w:t>
      </w:r>
    </w:p>
    <w:p w14:paraId="76EBD4B4" w14:textId="666FFB11" w:rsidR="00D703A3" w:rsidRPr="008A40E9" w:rsidRDefault="00D703A3" w:rsidP="00D703A3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“</w:t>
      </w:r>
      <w:proofErr w:type="spellStart"/>
      <w:r w:rsidRPr="008A40E9">
        <w:rPr>
          <w:rFonts w:cstheme="minorHAnsi"/>
          <w:sz w:val="24"/>
          <w:szCs w:val="24"/>
        </w:rPr>
        <w:t>RomerEstimate.m</w:t>
      </w:r>
      <w:proofErr w:type="spellEnd"/>
      <w:r w:rsidRPr="008A40E9">
        <w:rPr>
          <w:rFonts w:cstheme="minorHAnsi"/>
          <w:sz w:val="24"/>
          <w:szCs w:val="24"/>
        </w:rPr>
        <w:t>”, “</w:t>
      </w:r>
      <w:proofErr w:type="spellStart"/>
      <w:r w:rsidRPr="008A40E9">
        <w:rPr>
          <w:rFonts w:cstheme="minorHAnsi"/>
          <w:sz w:val="24"/>
          <w:szCs w:val="24"/>
        </w:rPr>
        <w:t>RomerIRF.m</w:t>
      </w:r>
      <w:proofErr w:type="spellEnd"/>
      <w:r w:rsidRPr="008A40E9">
        <w:rPr>
          <w:rFonts w:cstheme="minorHAnsi"/>
          <w:sz w:val="24"/>
          <w:szCs w:val="24"/>
        </w:rPr>
        <w:t>” and “</w:t>
      </w:r>
      <w:proofErr w:type="spellStart"/>
      <w:r w:rsidRPr="008A40E9">
        <w:rPr>
          <w:rFonts w:cstheme="minorHAnsi"/>
          <w:sz w:val="24"/>
          <w:szCs w:val="24"/>
        </w:rPr>
        <w:t>RomerVAR</w:t>
      </w:r>
      <w:proofErr w:type="spellEnd"/>
      <w:r w:rsidRPr="008A40E9">
        <w:rPr>
          <w:rFonts w:cstheme="minorHAnsi"/>
          <w:sz w:val="24"/>
          <w:szCs w:val="24"/>
        </w:rPr>
        <w:t xml:space="preserve">”: </w:t>
      </w:r>
      <w:r w:rsidR="0071219A" w:rsidRPr="008A40E9">
        <w:rPr>
          <w:rFonts w:cstheme="minorHAnsi"/>
          <w:sz w:val="24"/>
          <w:szCs w:val="24"/>
        </w:rPr>
        <w:t>for the</w:t>
      </w:r>
      <w:r w:rsidR="002F71D9">
        <w:rPr>
          <w:rFonts w:cstheme="minorHAnsi"/>
          <w:sz w:val="24"/>
          <w:szCs w:val="24"/>
        </w:rPr>
        <w:t xml:space="preserve"> </w:t>
      </w:r>
      <w:proofErr w:type="spellStart"/>
      <w:r w:rsidRPr="008A40E9">
        <w:rPr>
          <w:rFonts w:cstheme="minorHAnsi"/>
          <w:sz w:val="24"/>
          <w:szCs w:val="24"/>
        </w:rPr>
        <w:t>Romer</w:t>
      </w:r>
      <w:proofErr w:type="spellEnd"/>
      <w:r w:rsidRPr="008A40E9">
        <w:rPr>
          <w:rFonts w:cstheme="minorHAnsi"/>
          <w:sz w:val="24"/>
          <w:szCs w:val="24"/>
        </w:rPr>
        <w:t xml:space="preserve"> and </w:t>
      </w:r>
      <w:proofErr w:type="spellStart"/>
      <w:r w:rsidRPr="008A40E9">
        <w:rPr>
          <w:rFonts w:cstheme="minorHAnsi"/>
          <w:sz w:val="24"/>
          <w:szCs w:val="24"/>
        </w:rPr>
        <w:t>Romer</w:t>
      </w:r>
      <w:proofErr w:type="spellEnd"/>
      <w:r w:rsidRPr="008A40E9">
        <w:rPr>
          <w:rFonts w:cstheme="minorHAnsi"/>
          <w:sz w:val="24"/>
          <w:szCs w:val="24"/>
        </w:rPr>
        <w:t xml:space="preserve"> (2004) specification</w:t>
      </w:r>
    </w:p>
    <w:p w14:paraId="504C0251" w14:textId="77777777" w:rsidR="00D703A3" w:rsidRPr="008A40E9" w:rsidRDefault="00D703A3" w:rsidP="00D703A3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 xml:space="preserve">“ConvertIRF.do” and “IRFplot.do” take the impulse responses constructed from above and plot figures. </w:t>
      </w:r>
    </w:p>
    <w:p w14:paraId="0F01B0D3" w14:textId="77777777" w:rsidR="00D703A3" w:rsidRPr="008A40E9" w:rsidRDefault="00D703A3" w:rsidP="00D703A3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8A40E9">
        <w:rPr>
          <w:rFonts w:cstheme="minorHAnsi"/>
          <w:sz w:val="24"/>
          <w:szCs w:val="24"/>
        </w:rPr>
        <w:t>“</w:t>
      </w:r>
      <w:proofErr w:type="spellStart"/>
      <w:r w:rsidRPr="008A40E9">
        <w:rPr>
          <w:rFonts w:cstheme="minorHAnsi"/>
          <w:sz w:val="24"/>
          <w:szCs w:val="24"/>
        </w:rPr>
        <w:t>MultiplierTable.m</w:t>
      </w:r>
      <w:proofErr w:type="spellEnd"/>
      <w:r w:rsidRPr="008A40E9">
        <w:rPr>
          <w:rFonts w:cstheme="minorHAnsi"/>
          <w:sz w:val="24"/>
          <w:szCs w:val="24"/>
        </w:rPr>
        <w:t>” and “</w:t>
      </w:r>
      <w:proofErr w:type="spellStart"/>
      <w:r w:rsidRPr="008A40E9">
        <w:rPr>
          <w:rFonts w:cstheme="minorHAnsi"/>
          <w:sz w:val="24"/>
          <w:szCs w:val="24"/>
        </w:rPr>
        <w:t>latexTable.m</w:t>
      </w:r>
      <w:proofErr w:type="spellEnd"/>
      <w:r w:rsidRPr="008A40E9">
        <w:rPr>
          <w:rFonts w:cstheme="minorHAnsi"/>
          <w:sz w:val="24"/>
          <w:szCs w:val="24"/>
        </w:rPr>
        <w:t>” in the “Appendix/Program/</w:t>
      </w:r>
      <w:proofErr w:type="spellStart"/>
      <w:r w:rsidRPr="008A40E9">
        <w:rPr>
          <w:rFonts w:cstheme="minorHAnsi"/>
          <w:sz w:val="24"/>
          <w:szCs w:val="24"/>
        </w:rPr>
        <w:t>ma</w:t>
      </w:r>
      <w:r w:rsidR="008A40E9">
        <w:rPr>
          <w:rFonts w:cstheme="minorHAnsi"/>
          <w:sz w:val="24"/>
          <w:szCs w:val="24"/>
        </w:rPr>
        <w:t>tlab</w:t>
      </w:r>
      <w:proofErr w:type="spellEnd"/>
      <w:r w:rsidR="008A40E9">
        <w:rPr>
          <w:rFonts w:cstheme="minorHAnsi"/>
          <w:sz w:val="24"/>
          <w:szCs w:val="24"/>
        </w:rPr>
        <w:t xml:space="preserve">” folder create Table A.1. </w:t>
      </w:r>
    </w:p>
    <w:sectPr w:rsidR="00D703A3" w:rsidRPr="008A40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D1AE0"/>
    <w:multiLevelType w:val="hybridMultilevel"/>
    <w:tmpl w:val="7DE88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F310C"/>
    <w:multiLevelType w:val="hybridMultilevel"/>
    <w:tmpl w:val="CDB8B3F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24A44EE7"/>
    <w:multiLevelType w:val="hybridMultilevel"/>
    <w:tmpl w:val="4D5E8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435C1"/>
    <w:multiLevelType w:val="hybridMultilevel"/>
    <w:tmpl w:val="49521B30"/>
    <w:lvl w:ilvl="0" w:tplc="042A0C6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642"/>
    <w:rsid w:val="002F71D9"/>
    <w:rsid w:val="003D72C9"/>
    <w:rsid w:val="00505C44"/>
    <w:rsid w:val="0071219A"/>
    <w:rsid w:val="007F0642"/>
    <w:rsid w:val="008A40E9"/>
    <w:rsid w:val="00BB590C"/>
    <w:rsid w:val="00D703A3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F12AA"/>
  <w15:chartTrackingRefBased/>
  <w15:docId w15:val="{4CFB31B8-BF85-4E4B-AD48-104F2BF3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642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D703A3"/>
    <w:pPr>
      <w:spacing w:before="180" w:after="180"/>
      <w:ind w:firstLine="567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703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Columbia University</Company>
  <LinksUpToDate>false</LinksUpToDate>
  <CharactersWithSpaces>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</dc:creator>
  <cp:keywords/>
  <dc:description/>
  <cp:lastModifiedBy>jon</cp:lastModifiedBy>
  <cp:revision>7</cp:revision>
  <dcterms:created xsi:type="dcterms:W3CDTF">2018-06-14T17:38:00Z</dcterms:created>
  <dcterms:modified xsi:type="dcterms:W3CDTF">2018-06-14T19:33:00Z</dcterms:modified>
</cp:coreProperties>
</file>